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c6c56f43f414758"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27589</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KNJIŽNICA I ČITAONICA VOJNIC</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21</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45.034,65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68.848,64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152,9</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38.138,74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62.820,55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164,7</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POSLOVANJA (šifre 6-Z005)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6.895,91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6.028,09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87,4</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1.480,15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4.990,24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337,1</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1.480,15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4.990,24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337,1</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PRIMITAKA OD FINANCIJSKE IMOVINE I ZADUŽIVANJA (šifre 8-5,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 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 PRIHODA I PRIMITAKA (šifre X678-Y345)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5.415,76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1.037,85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19,2</w:t>
            </w:r>
          </w:p>
        </w:tc>
      </w:tr>
    </w:tbl>
    <w:p>
      <w:pPr>
        <w:spacing w:before="0" w:after="0"/>
      </w:pPr>
    </w:p>
    <w:p>
      <w:pPr>
        <w:jc w:val="both"/>
        <w:pStyle w:val="Normal"/>
        <w:spacing w:line="240" w:lineRule="auto"/>
      </w:pPr>
      <w:r>
        <w:rPr>
          <w:sz w:val="24"/>
          <w:rFonts w:ascii="Times New Roman" w:hAnsi="Times New Roman"/>
        </w:rPr>
        <w:t>Proračunski korisnik Knjižnica i čitaonica Vojnić, Andrije Hebranga 2, Vojnić. Razina 21; RKDP 27589;  OIB 82323938664;  Matični broj 01366408;  Šifra djelatnosti 9101; Djeluje po principima zakonskih okvira. Zakon o proračunu ( Narodne novine 144/21 ), - Pravilnik o proračunskom računovodstvu i Računskom planu ( Narodne novine  158/23, 154/24 ), - Pravilnik o financijskom izvještavanju u proračunskom računovodstvu   ( Narodne novine 52/25 ), - Pravilnik o proračunskim klasifikacijama ( Narodne novine 4/24 ). Izvještaj Knjižnice i čitaonice Vojnić sastavljen je  za razdoblje od 01. siječnja 2025. godine do 30. lipnja 2025. godine te uključuje prihode i primitke, rashode i izdatke i obveze Knjižnice i čitaonice Vojnić. Podaci korišteni za popunjavanje financijskog izvještaja dobiveni su iz Glavne knjige proračuna Knjižnice i čitaonice Vojnić. Poslovanje se obavlja preko jedinstvenog računa Općine Vojnić,  IBAN: HR 73 2340 0091 8503 0000 8 otvorenog pri Privrednoj banci Zagreb d.d.
</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45.034,65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68.848,64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152,9</w:t>
            </w:r>
          </w:p>
        </w:tc>
      </w:tr>
    </w:tbl>
    <w:p>
      <w:pPr>
        <w:spacing w:before="0" w:after="0"/>
      </w:pPr>
    </w:p>
    <w:p>
      <w:pPr>
        <w:jc w:val="both"/>
        <w:pStyle w:val="Normal"/>
        <w:spacing w:line="240" w:lineRule="auto"/>
      </w:pPr>
      <w:r>
        <w:rPr>
          <w:sz w:val="24"/>
          <w:rFonts w:ascii="Times New Roman" w:hAnsi="Times New Roman"/>
        </w:rPr>
        <w:t>Razlika u iznosu prihoda poslovanja Knjižnice i čitaonice Vojnić u promatranom razdoblju se odnosi na povećanje prihoda pristiglih iz nadležnog proračuna za  financiranje tekućih obveza i plaće za novog djelatnika.</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iz inozemstva i od subjekata unutar općeg proračuna (šifre 631+632+633+634+635+636+637+638+639)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11.640,00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8.840,00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75,9</w:t>
            </w:r>
          </w:p>
        </w:tc>
      </w:tr>
    </w:tbl>
    <w:p>
      <w:pPr>
        <w:spacing w:before="0" w:after="0"/>
      </w:pPr>
    </w:p>
    <w:p>
      <w:pPr>
        <w:jc w:val="both"/>
        <w:pStyle w:val="Normal"/>
        <w:spacing w:line="240" w:lineRule="auto"/>
      </w:pPr>
      <w:r>
        <w:rPr>
          <w:sz w:val="24"/>
          <w:rFonts w:ascii="Times New Roman" w:hAnsi="Times New Roman"/>
        </w:rPr>
        <w:t>Povećanje prihoda od subjekta unutar općeg proračuna se odnose na sredstva dobivena od Ministarstva kulture i medija za nabavu knjižne i ne knjižne građe te održavanje kazališnih predstava za vrtićku, predškolsku i školsku djecu.</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proračunu i izvanproračunskim korisnicima iz drugih proračuna (šifre 6331+6332)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11.640,00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8.840,00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75,9</w:t>
            </w:r>
          </w:p>
        </w:tc>
      </w:tr>
    </w:tbl>
    <w:p>
      <w:pPr>
        <w:spacing w:before="0" w:after="0"/>
      </w:pPr>
    </w:p>
    <w:p>
      <w:pPr>
        <w:jc w:val="both"/>
        <w:pStyle w:val="Normal"/>
        <w:spacing w:line="240" w:lineRule="auto"/>
      </w:pPr>
      <w:r>
        <w:rPr>
          <w:sz w:val="24"/>
          <w:rFonts w:ascii="Times New Roman" w:hAnsi="Times New Roman"/>
        </w:rPr>
        <w:t>Pomoći se odnose na sredstva dobivena od Ministarstva kulture i medija i Karlovačke županije, za nabavu knjižne i ne knjižne građe (Ministarstvo kulture i medija) te održavanje kazališnih predstava za vrtićku, predškolsku i školsku djecu i odrasle (Ministarstva kulture i medija i Karlovačka Županija). </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Tekuće pomoći proračunu i izvanproračunskim korisnicima iz drugih proračuna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4.640,00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5.040,00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108,6</w:t>
            </w:r>
          </w:p>
        </w:tc>
      </w:tr>
    </w:tbl>
    <w:p>
      <w:pPr>
        <w:spacing w:before="0" w:after="0"/>
      </w:pPr>
    </w:p>
    <w:p>
      <w:pPr>
        <w:jc w:val="both"/>
        <w:pStyle w:val="Normal"/>
        <w:spacing w:line="240" w:lineRule="auto"/>
      </w:pPr>
      <w:r>
        <w:rPr>
          <w:sz w:val="24"/>
          <w:rFonts w:ascii="Times New Roman" w:hAnsi="Times New Roman"/>
        </w:rPr>
        <w:t>Prihodi na ovom računu iz računskog plana u iznosu od 5.040,00 EUR se sastoje od 2.640,00 EUR odnose se na održavanje kazališnih predstava koje financira Karlovačka županija. Ostataka sredstava u iznosu od 2.400,00 EUR su sredstva dobivena od Ministarstva kulture i medija također za održavanje kazališnih predstava. Razlika u ostvarenom u izvještajnim razdobljima odnosi se na to da je u prethodnom izvještajnom razdoblju (2024. godine)  bilo natječaja na  se Knjižnica mogla prijaviti. </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Kapitalne pomoći proračunu i izvanproračunskim korisnicima iz drugih proračuna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7.000,00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3.800,00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54,3</w:t>
            </w:r>
          </w:p>
        </w:tc>
      </w:tr>
    </w:tbl>
    <w:p>
      <w:pPr>
        <w:spacing w:before="0" w:after="0"/>
      </w:pPr>
    </w:p>
    <w:p>
      <w:pPr>
        <w:jc w:val="both"/>
        <w:pStyle w:val="Normal"/>
        <w:spacing w:line="240" w:lineRule="auto"/>
      </w:pPr>
      <w:r>
        <w:rPr>
          <w:sz w:val="24"/>
          <w:rFonts w:ascii="Times New Roman" w:hAnsi="Times New Roman"/>
        </w:rPr>
        <w:t>Prihodi su smanjeni zbog manje dobivenih sredstava za nabavku knjižne građe od Ministarstva kulture i medija u promatranom razdoblju, do kraja godine Knjižnica treba dobiti ostatak sredstava koji će se iskoristiti za nabavu knjiga, za proširenje fonda koji knjižnica posjeduje.
 </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proizvoda i robe te pruženih usluga, prihodi od donacija te povrati po protestiranim jamstvima (šifre 661+663)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551,80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1.381,00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250,3</w:t>
            </w:r>
          </w:p>
        </w:tc>
      </w:tr>
    </w:tbl>
    <w:p>
      <w:pPr>
        <w:spacing w:before="0" w:after="0"/>
      </w:pPr>
    </w:p>
    <w:p>
      <w:pPr>
        <w:jc w:val="both"/>
        <w:pStyle w:val="Normal"/>
        <w:spacing w:line="240" w:lineRule="auto"/>
      </w:pPr>
      <w:r>
        <w:rPr>
          <w:sz w:val="24"/>
          <w:rFonts w:ascii="Times New Roman" w:hAnsi="Times New Roman"/>
        </w:rPr>
        <w:t>Prihodi se odnose na prihode od članarina te usluga kopiranja i korištenja interneta koje knjižnica nudi svojim korisnicima.</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6615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pruženih usluga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6615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551,80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1.381,00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250,3</w:t>
            </w:r>
          </w:p>
        </w:tc>
      </w:tr>
    </w:tbl>
    <w:p>
      <w:pPr>
        <w:spacing w:before="0" w:after="0"/>
      </w:pPr>
    </w:p>
    <w:p>
      <w:pPr>
        <w:jc w:val="both"/>
        <w:pStyle w:val="Normal"/>
        <w:spacing w:line="240" w:lineRule="auto"/>
      </w:pPr>
      <w:r>
        <w:rPr>
          <w:sz w:val="24"/>
          <w:rFonts w:ascii="Times New Roman" w:hAnsi="Times New Roman"/>
        </w:rPr>
        <w:t>Prihodi ostvareni u navedenom odnosu su zbog povećanih uplata članarina od strane korisnika dok se u manjoj mjeri prihodi odnose na uslugu kopiranja i korištenja računala sa pristupom internetu.</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iz nadležnog proračuna i od HZZO-a na temelju ugovornih obveza (šifre 671+673)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32.842,85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58.627,64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178,5</w:t>
            </w:r>
          </w:p>
        </w:tc>
      </w:tr>
    </w:tbl>
    <w:p>
      <w:pPr>
        <w:spacing w:before="0" w:after="0"/>
      </w:pPr>
    </w:p>
    <w:p>
      <w:pPr>
        <w:jc w:val="both"/>
        <w:pStyle w:val="Normal"/>
        <w:spacing w:line="240" w:lineRule="auto"/>
      </w:pPr>
      <w:r>
        <w:rPr>
          <w:sz w:val="24"/>
          <w:rFonts w:ascii="Times New Roman" w:hAnsi="Times New Roman"/>
        </w:rPr>
        <w:t>Knjižnica i čitaonica Vojnić u svoje rashode poslovanja financiraju kroz prihode dobivene iz Proračuna Općine Vojnić. Prihodi su povećani zbog obveza za rashode poslovanja te zapošljavanja jednog djelatnika u odnosu na prethodno promatrano razdoblje.  </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iz nadležnog proračuna za financiranje rashoda poslovanja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6711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32.363,58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58.627,64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181,2</w:t>
            </w:r>
          </w:p>
        </w:tc>
      </w:tr>
    </w:tbl>
    <w:p>
      <w:pPr>
        <w:spacing w:before="0" w:after="0"/>
      </w:pPr>
    </w:p>
    <w:p>
      <w:pPr>
        <w:jc w:val="both"/>
        <w:pStyle w:val="Normal"/>
        <w:spacing w:line="240" w:lineRule="auto"/>
      </w:pPr>
      <w:r>
        <w:rPr>
          <w:sz w:val="24"/>
          <w:rFonts w:ascii="Times New Roman" w:hAnsi="Times New Roman"/>
        </w:rPr>
        <w:t>Do povećanja financiranje redovne djelatnosti Knjižnice i čitaonice je došlo uslijed povećanja planiranih rashoda poslovanja i većeg  broja natječaja na koji su postojale mogućnosti prijave što je na koncu dovelo da povećanja prihoda koji su bili na raspolaganju.</w:t>
      </w:r>
    </w:p>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38.138,74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62.820,55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164,7</w:t>
            </w:r>
          </w:p>
        </w:tc>
      </w:tr>
    </w:tbl>
    <w:p>
      <w:pPr>
        <w:spacing w:before="0" w:after="0"/>
      </w:pPr>
    </w:p>
    <w:p>
      <w:pPr>
        <w:jc w:val="both"/>
        <w:pStyle w:val="Normal"/>
        <w:spacing w:line="240" w:lineRule="auto"/>
      </w:pPr>
      <w:r>
        <w:rPr>
          <w:sz w:val="24"/>
          <w:rFonts w:ascii="Times New Roman" w:hAnsi="Times New Roman"/>
        </w:rPr>
        <w:t>Uslijed povećanja cijena stavki troškova koji su obuhvaćeni poslovanjem Knjižnice i čitaonice Vojnić u izvještajnom razdoblju tekuće godine došlo je od osjetnog povećanja ukupnih troškova poslovanja. Povećanje rashoda se ponajviše odnosi na rashode za zaposlene koji su rasli zbog povećanja osnovice za obračun plaća između promatranih razdoblja obuhvaćenih ovim izvještajem.</w:t>
      </w:r>
    </w:p>
    <w:p/>
    <w:p>
      <w:pPr>
        <w:jc w:val="center"/>
        <w:pStyle w:val="Normal"/>
        <w:spacing w:line="240" w:lineRule="auto"/>
        <w:keepNext/>
      </w:pPr>
      <w:r>
        <w:rPr>
          <w:sz w:val="28"/>
          <w:rFonts w:ascii="Times New Roman" w:hAnsi="Times New Roman"/>
        </w:rPr>
        <w:t>Bilješka 12.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zaposlene (šifre 311+312+313)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28.427,69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47.138,20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165,8</w:t>
            </w:r>
          </w:p>
        </w:tc>
      </w:tr>
    </w:tbl>
    <w:p>
      <w:pPr>
        <w:spacing w:before="0" w:after="0"/>
      </w:pPr>
    </w:p>
    <w:p>
      <w:pPr>
        <w:jc w:val="both"/>
        <w:pStyle w:val="Normal"/>
        <w:spacing w:line="240" w:lineRule="auto"/>
      </w:pPr>
      <w:r>
        <w:rPr>
          <w:sz w:val="24"/>
          <w:rFonts w:ascii="Times New Roman" w:hAnsi="Times New Roman"/>
        </w:rPr>
        <w:t>Povećanje rashoda  za zaposlene koji su rasli zbog povećanja osnovice za obračun plaća između promatranih razdoblja obuhvaćenih ovim izvještajem i povećanjem broja zaposlenih u Knjižnici i čitaonici Vojnić. Kroz promatrano razdoblje prošle godine Knjižnica je imala tri (3) zaposlena djelatnika, dva (2) na puno radno vrijeme i jednog (1) djelatnika na nepuno radno vrijeme, dok se izvještajnom razdoblju navedeno promijenilo te  Knjižnica sada ima četiri (4) zaposlena djelatnika, tri (3) na puno radno vrijeme i jednog (1) djelatnika na nepuno radno vrijeme</w:t>
      </w:r>
    </w:p>
    <w:p/>
    <w:p>
      <w:pPr>
        <w:jc w:val="center"/>
        <w:pStyle w:val="Normal"/>
        <w:spacing w:line="240" w:lineRule="auto"/>
        <w:keepNext/>
      </w:pPr>
      <w:r>
        <w:rPr>
          <w:sz w:val="28"/>
          <w:rFonts w:ascii="Times New Roman" w:hAnsi="Times New Roman"/>
        </w:rPr>
        <w:t>Bilješka 13.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Plaće za redovan rad</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23.682,10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38.985,60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164,6</w:t>
            </w:r>
          </w:p>
        </w:tc>
      </w:tr>
    </w:tbl>
    <w:p>
      <w:pPr>
        <w:spacing w:before="0" w:after="0"/>
      </w:pPr>
    </w:p>
    <w:p>
      <w:pPr>
        <w:jc w:val="both"/>
        <w:pStyle w:val="Normal"/>
        <w:spacing w:line="240" w:lineRule="auto"/>
      </w:pPr>
      <w:r>
        <w:rPr>
          <w:sz w:val="24"/>
          <w:rFonts w:ascii="Times New Roman" w:hAnsi="Times New Roman"/>
        </w:rPr>
        <w:t>Povećanje plaće za redovan rad Knjižnice i čitaonice odnosi se na promjenu osnovice za izračun plaća između izvještajnih razdoblja te promjena u broju zaposlenika, zapošljavanjem dodatnog djelatnika u mjesecu svibnju.</w:t>
      </w:r>
    </w:p>
    <w:p/>
    <w:p>
      <w:pPr>
        <w:jc w:val="center"/>
        <w:pStyle w:val="Normal"/>
        <w:spacing w:line="240" w:lineRule="auto"/>
        <w:keepNext/>
      </w:pPr>
      <w:r>
        <w:rPr>
          <w:sz w:val="28"/>
          <w:rFonts w:ascii="Times New Roman" w:hAnsi="Times New Roman"/>
        </w:rPr>
        <w:t>Bilješka 14.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rashodi za zaposlene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838,00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1.720,00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205,3</w:t>
            </w:r>
          </w:p>
        </w:tc>
      </w:tr>
    </w:tbl>
    <w:p>
      <w:pPr>
        <w:spacing w:before="0" w:after="0"/>
      </w:pPr>
    </w:p>
    <w:p>
      <w:pPr>
        <w:jc w:val="both"/>
        <w:pStyle w:val="Normal"/>
        <w:spacing w:line="240" w:lineRule="auto"/>
      </w:pPr>
      <w:r>
        <w:rPr>
          <w:sz w:val="24"/>
          <w:rFonts w:ascii="Times New Roman" w:hAnsi="Times New Roman"/>
        </w:rPr>
        <w:t>Navedeni rashodi su povećani uslijed isplate naknade za godišnji odmor za zaposlenik te isplate naknade povodom Uskrsa.</w:t>
      </w:r>
    </w:p>
    <w:p/>
    <w:p>
      <w:pPr>
        <w:jc w:val="center"/>
        <w:pStyle w:val="Normal"/>
        <w:spacing w:line="240" w:lineRule="auto"/>
        <w:keepNext/>
      </w:pPr>
      <w:r>
        <w:rPr>
          <w:sz w:val="28"/>
          <w:rFonts w:ascii="Times New Roman" w:hAnsi="Times New Roman"/>
        </w:rPr>
        <w:t>Bilješka 15.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Doprinosi za obvezno zdravstveno osiguranje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3.907,59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6.432,60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164,6</w:t>
            </w:r>
          </w:p>
        </w:tc>
      </w:tr>
    </w:tbl>
    <w:p>
      <w:pPr>
        <w:spacing w:before="0" w:after="0"/>
      </w:pPr>
    </w:p>
    <w:p>
      <w:pPr>
        <w:jc w:val="both"/>
        <w:pStyle w:val="Normal"/>
        <w:spacing w:line="240" w:lineRule="auto"/>
      </w:pPr>
      <w:r>
        <w:rPr>
          <w:sz w:val="24"/>
          <w:rFonts w:ascii="Times New Roman" w:hAnsi="Times New Roman"/>
        </w:rPr>
        <w:t>Povećanjem broja zaposlenika i osnovice za obračun plaća djelatnika došlo je do povećanog troška vezanog uz doprinose na plaću koje je Knjižnica isplatila svojim djelatnicima u razdoblju od mjeseca siječnja do mjeseca lipnja.</w:t>
      </w:r>
    </w:p>
    <w:p/>
    <w:p>
      <w:pPr>
        <w:jc w:val="center"/>
        <w:pStyle w:val="Normal"/>
        <w:spacing w:line="240" w:lineRule="auto"/>
        <w:keepNext/>
      </w:pPr>
      <w:r>
        <w:rPr>
          <w:sz w:val="28"/>
          <w:rFonts w:ascii="Times New Roman" w:hAnsi="Times New Roman"/>
        </w:rPr>
        <w:t>Bilješka 16.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Materijalni rashodi (šifre 321+322+323+324+325+329)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9.694,46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15.640,59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161,3</w:t>
            </w:r>
          </w:p>
        </w:tc>
      </w:tr>
    </w:tbl>
    <w:p>
      <w:pPr>
        <w:spacing w:before="0" w:after="0"/>
      </w:pPr>
    </w:p>
    <w:p>
      <w:pPr>
        <w:jc w:val="both"/>
        <w:pStyle w:val="Normal"/>
        <w:spacing w:line="240" w:lineRule="auto"/>
      </w:pPr>
      <w:r>
        <w:rPr>
          <w:sz w:val="24"/>
          <w:rFonts w:ascii="Times New Roman" w:hAnsi="Times New Roman"/>
        </w:rPr>
        <w:t>Povećanjem cijena roba i usluga uzročno posljedično su rasli i materijalni rashodi  važni za neometano funkcioniranje Knjižnice. U sklopu Knjižnice radi i djelatnica koja ostvaruje pravo na naknadu za troškove prijevoza. Utjecaj na povećanje troškova vezanih uz materijal i energiju te rashode za usluge, financijske rashode i ostale nespomenute rashode poslovanja  također je utjecao na povećanje materijalnih rashoda.</w:t>
      </w:r>
    </w:p>
    <w:p/>
    <w:p>
      <w:pPr>
        <w:jc w:val="center"/>
        <w:pStyle w:val="Normal"/>
        <w:spacing w:line="240" w:lineRule="auto"/>
        <w:keepNext/>
      </w:pPr>
      <w:r>
        <w:rPr>
          <w:sz w:val="28"/>
          <w:rFonts w:ascii="Times New Roman" w:hAnsi="Times New Roman"/>
        </w:rPr>
        <w:t>Bilješka 17.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Naknade za prijevoz, za rad na terenu i odvojeni život</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29,12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59,55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204,5</w:t>
            </w:r>
          </w:p>
        </w:tc>
      </w:tr>
    </w:tbl>
    <w:p>
      <w:pPr>
        <w:spacing w:before="0" w:after="0"/>
      </w:pPr>
    </w:p>
    <w:p>
      <w:pPr>
        <w:jc w:val="both"/>
        <w:pStyle w:val="Normal"/>
        <w:spacing w:line="240" w:lineRule="auto"/>
      </w:pPr>
      <w:r>
        <w:rPr>
          <w:sz w:val="24"/>
          <w:rFonts w:ascii="Times New Roman" w:hAnsi="Times New Roman"/>
        </w:rPr>
        <w:t>Naknadu troškova prijevoza ostvaruje jedna djelatnica, dok ostali djelatnici Knjižnice ne ostvaruju to pravo s obzirom da žive na u mjestu rada.</w:t>
      </w:r>
    </w:p>
    <w:p/>
    <w:p>
      <w:pPr>
        <w:jc w:val="center"/>
        <w:pStyle w:val="Normal"/>
        <w:spacing w:line="240" w:lineRule="auto"/>
        <w:keepNext/>
      </w:pPr>
      <w:r>
        <w:rPr>
          <w:sz w:val="28"/>
          <w:rFonts w:ascii="Times New Roman" w:hAnsi="Times New Roman"/>
        </w:rPr>
        <w:t>Bilješka 18.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Uredski materijal i ostali materijalni rashodi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109,99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143,75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130,7</w:t>
            </w:r>
          </w:p>
        </w:tc>
      </w:tr>
    </w:tbl>
    <w:p>
      <w:pPr>
        <w:spacing w:before="0" w:after="0"/>
      </w:pPr>
    </w:p>
    <w:p>
      <w:pPr>
        <w:jc w:val="both"/>
        <w:pStyle w:val="Normal"/>
        <w:spacing w:line="240" w:lineRule="auto"/>
      </w:pPr>
      <w:r>
        <w:rPr>
          <w:sz w:val="24"/>
          <w:rFonts w:ascii="Times New Roman" w:hAnsi="Times New Roman"/>
        </w:rPr>
        <w:t>Rast cijena uredskog materijala kod dobavljača dovelo je do povećanja troškova nabave istih.</w:t>
      </w:r>
    </w:p>
    <w:p/>
    <w:p>
      <w:pPr>
        <w:jc w:val="center"/>
        <w:pStyle w:val="Normal"/>
        <w:spacing w:line="240" w:lineRule="auto"/>
        <w:keepNext/>
      </w:pPr>
      <w:r>
        <w:rPr>
          <w:sz w:val="28"/>
          <w:rFonts w:ascii="Times New Roman" w:hAnsi="Times New Roman"/>
        </w:rPr>
        <w:t>Bilješka 19.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Energija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1.146,43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4.142,18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361,3</w:t>
            </w:r>
          </w:p>
        </w:tc>
      </w:tr>
    </w:tbl>
    <w:p>
      <w:pPr>
        <w:spacing w:before="0" w:after="0"/>
      </w:pPr>
    </w:p>
    <w:p>
      <w:pPr>
        <w:jc w:val="both"/>
        <w:pStyle w:val="Normal"/>
        <w:spacing w:line="240" w:lineRule="auto"/>
      </w:pPr>
      <w:r>
        <w:rPr>
          <w:sz w:val="24"/>
          <w:rFonts w:ascii="Times New Roman" w:hAnsi="Times New Roman"/>
        </w:rPr>
        <w:t>Zbog povećanja cijena stavaka električne energije i cijene lož ulja koje koristi normalno funkcioniranje došlo je do izrazitog povećanja troškova na navedenoj stavci   za Knjižnicu i čitaonicu Vojnić. </w:t>
      </w:r>
    </w:p>
    <w:p/>
    <w:p>
      <w:pPr>
        <w:jc w:val="center"/>
        <w:pStyle w:val="Normal"/>
        <w:spacing w:line="240" w:lineRule="auto"/>
        <w:keepNext/>
      </w:pPr>
      <w:r>
        <w:rPr>
          <w:sz w:val="28"/>
          <w:rFonts w:ascii="Times New Roman" w:hAnsi="Times New Roman"/>
        </w:rPr>
        <w:t>Bilješka 20.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Usluge telefona, interneta, pošte i prijevoza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306,28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375,41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122,6</w:t>
            </w:r>
          </w:p>
        </w:tc>
      </w:tr>
    </w:tbl>
    <w:p>
      <w:pPr>
        <w:spacing w:before="0" w:after="0"/>
      </w:pPr>
    </w:p>
    <w:p>
      <w:pPr>
        <w:jc w:val="both"/>
        <w:pStyle w:val="Normal"/>
        <w:spacing w:line="240" w:lineRule="auto"/>
      </w:pPr>
      <w:r>
        <w:rPr>
          <w:sz w:val="24"/>
          <w:rFonts w:ascii="Times New Roman" w:hAnsi="Times New Roman"/>
        </w:rPr>
        <w:t>Povećanjem stavki koje utječu na formiranje cijene usluga telefona, interneta pošte i prijevoza dovelo je do rasta cijena navedenih usluga prema krajnjem korisniku (Knjižnici i čitaonici Vojnić).</w:t>
      </w:r>
    </w:p>
    <w:p/>
    <w:p>
      <w:pPr>
        <w:jc w:val="center"/>
        <w:pStyle w:val="Normal"/>
        <w:spacing w:line="240" w:lineRule="auto"/>
        <w:keepNext/>
      </w:pPr>
      <w:r>
        <w:rPr>
          <w:sz w:val="28"/>
          <w:rFonts w:ascii="Times New Roman" w:hAnsi="Times New Roman"/>
        </w:rPr>
        <w:t>Bilješka 21.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Usluge tekućeg i investicijskog održavanja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1.252,60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1.891,23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151,0</w:t>
            </w:r>
          </w:p>
        </w:tc>
      </w:tr>
    </w:tbl>
    <w:p>
      <w:pPr>
        <w:spacing w:before="0" w:after="0"/>
      </w:pPr>
    </w:p>
    <w:p>
      <w:pPr>
        <w:jc w:val="both"/>
        <w:pStyle w:val="Normal"/>
        <w:spacing w:line="240" w:lineRule="auto"/>
      </w:pPr>
      <w:r>
        <w:rPr>
          <w:sz w:val="24"/>
          <w:rFonts w:ascii="Times New Roman" w:hAnsi="Times New Roman"/>
        </w:rPr>
        <w:t>Knjižnica redovno u svome poslovanju provodi aktivnosti koje se odnose na održavanje postrojenja i opreme te sprječavanja nastanka većih kvarova i oštećenja. Redovito koriste usluge tekućeg i investicijskog održavanja kotlovnice, radijatora, servis vatrodojave i sustava video nadzora kako bi se spriječile neželjene posljedice.</w:t>
      </w:r>
    </w:p>
    <w:p/>
    <w:p>
      <w:pPr>
        <w:jc w:val="center"/>
        <w:pStyle w:val="Normal"/>
        <w:spacing w:line="240" w:lineRule="auto"/>
        <w:keepNext/>
      </w:pPr>
      <w:r>
        <w:rPr>
          <w:sz w:val="28"/>
          <w:rFonts w:ascii="Times New Roman" w:hAnsi="Times New Roman"/>
        </w:rPr>
        <w:t>Bilješka 22.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Usluge promidžbe i informiranja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582,44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774,07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132,9</w:t>
            </w:r>
          </w:p>
        </w:tc>
      </w:tr>
    </w:tbl>
    <w:p>
      <w:pPr>
        <w:spacing w:before="0" w:after="0"/>
      </w:pPr>
    </w:p>
    <w:p>
      <w:pPr>
        <w:jc w:val="both"/>
        <w:pStyle w:val="Normal"/>
        <w:spacing w:line="240" w:lineRule="auto"/>
      </w:pPr>
      <w:r>
        <w:rPr>
          <w:sz w:val="24"/>
          <w:rFonts w:ascii="Times New Roman" w:hAnsi="Times New Roman"/>
        </w:rPr>
        <w:t>U promatranom razdoblju Knjižnica i čitaonica Vojnić je izradila vlastitu web stranicu na kojoj korisnici mogu pronaći bitne informacije vezane uz rad same ustanove.</w:t>
      </w:r>
    </w:p>
    <w:p/>
    <w:p>
      <w:pPr>
        <w:jc w:val="center"/>
        <w:pStyle w:val="Normal"/>
        <w:spacing w:line="240" w:lineRule="auto"/>
        <w:keepNext/>
      </w:pPr>
      <w:r>
        <w:rPr>
          <w:sz w:val="28"/>
          <w:rFonts w:ascii="Times New Roman" w:hAnsi="Times New Roman"/>
        </w:rPr>
        <w:t>Bilješka 23.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Intelektualne i osobne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2.094,99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Knjižnica i čitaonica Vojnić u promatranom razdoblju je koristila intelektualne usluge (poslovnog savjetovanja) vezane uz prijavu na natječaj Inkluzivne usluge u kulturi (priprema i predaja prijave) te usluge javnog bilježnika.</w:t>
      </w:r>
    </w:p>
    <w:p/>
    <w:p>
      <w:pPr>
        <w:jc w:val="center"/>
        <w:pStyle w:val="Normal"/>
        <w:spacing w:line="240" w:lineRule="auto"/>
        <w:keepNext/>
      </w:pPr>
      <w:r>
        <w:rPr>
          <w:sz w:val="28"/>
          <w:rFonts w:ascii="Times New Roman" w:hAnsi="Times New Roman"/>
        </w:rPr>
        <w:t>Bilješka 24.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Računalne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379,80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433,42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114,1</w:t>
            </w:r>
          </w:p>
        </w:tc>
      </w:tr>
    </w:tbl>
    <w:p>
      <w:pPr>
        <w:spacing w:before="0" w:after="0"/>
      </w:pPr>
    </w:p>
    <w:p>
      <w:pPr>
        <w:jc w:val="both"/>
        <w:pStyle w:val="Normal"/>
        <w:spacing w:line="240" w:lineRule="auto"/>
      </w:pPr>
      <w:r>
        <w:rPr>
          <w:sz w:val="24"/>
          <w:rFonts w:ascii="Times New Roman" w:hAnsi="Times New Roman"/>
        </w:rPr>
        <w:t>Otvaranje odnosno izrada same web stranice dovela je do povećanja troškova vezanih uz računalne usluge.</w:t>
      </w:r>
    </w:p>
    <w:p/>
    <w:p>
      <w:pPr>
        <w:jc w:val="center"/>
        <w:pStyle w:val="Normal"/>
        <w:spacing w:line="240" w:lineRule="auto"/>
        <w:keepNext/>
      </w:pPr>
      <w:r>
        <w:rPr>
          <w:sz w:val="28"/>
          <w:rFonts w:ascii="Times New Roman" w:hAnsi="Times New Roman"/>
        </w:rPr>
        <w:t>Bilješka 25.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Ostale usluge</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5.394,84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4.900,00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90,8</w:t>
            </w:r>
          </w:p>
        </w:tc>
      </w:tr>
    </w:tbl>
    <w:p>
      <w:pPr>
        <w:spacing w:before="0" w:after="0"/>
      </w:pPr>
    </w:p>
    <w:p>
      <w:pPr>
        <w:jc w:val="both"/>
        <w:pStyle w:val="Normal"/>
        <w:spacing w:line="240" w:lineRule="auto"/>
      </w:pPr>
      <w:r>
        <w:rPr>
          <w:sz w:val="24"/>
          <w:rFonts w:ascii="Times New Roman" w:hAnsi="Times New Roman"/>
        </w:rPr>
        <w:t>Odnosi se trošak izvođenja kazališnih predstava koje su se izvodile u promatranom razdoblju.</w:t>
      </w:r>
    </w:p>
    <w:p/>
    <w:p>
      <w:pPr>
        <w:jc w:val="center"/>
        <w:pStyle w:val="Normal"/>
        <w:spacing w:line="240" w:lineRule="auto"/>
        <w:keepNext/>
      </w:pPr>
      <w:r>
        <w:rPr>
          <w:sz w:val="28"/>
          <w:rFonts w:ascii="Times New Roman" w:hAnsi="Times New Roman"/>
        </w:rPr>
        <w:t>Bilješka 26.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Reprezentacija</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220,47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155,75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70,6</w:t>
            </w:r>
          </w:p>
        </w:tc>
      </w:tr>
    </w:tbl>
    <w:p>
      <w:pPr>
        <w:spacing w:before="0" w:after="0"/>
      </w:pPr>
    </w:p>
    <w:p>
      <w:pPr>
        <w:jc w:val="both"/>
        <w:pStyle w:val="Normal"/>
        <w:spacing w:line="240" w:lineRule="auto"/>
      </w:pPr>
      <w:r>
        <w:rPr>
          <w:sz w:val="24"/>
          <w:rFonts w:ascii="Times New Roman" w:hAnsi="Times New Roman"/>
        </w:rPr>
        <w:t>U izvještajnom razdoblju sukladno manjem broju kazališta koja su gostovala manji su i troškovi reprezentacije.</w:t>
      </w:r>
    </w:p>
    <w:p/>
    <w:p>
      <w:pPr>
        <w:jc w:val="center"/>
        <w:pStyle w:val="Normal"/>
        <w:spacing w:line="240" w:lineRule="auto"/>
        <w:keepNext/>
      </w:pPr>
      <w:r>
        <w:rPr>
          <w:sz w:val="28"/>
          <w:rFonts w:ascii="Times New Roman" w:hAnsi="Times New Roman"/>
        </w:rPr>
        <w:t>Bilješka 27.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Financijski rashodi (šifre 341+342+343)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16,59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41,76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251,7</w:t>
            </w:r>
          </w:p>
        </w:tc>
      </w:tr>
    </w:tbl>
    <w:p>
      <w:pPr>
        <w:spacing w:before="0" w:after="0"/>
      </w:pPr>
    </w:p>
    <w:p>
      <w:pPr>
        <w:jc w:val="both"/>
        <w:pStyle w:val="Normal"/>
        <w:spacing w:line="240" w:lineRule="auto"/>
      </w:pPr>
      <w:r>
        <w:rPr>
          <w:sz w:val="24"/>
          <w:rFonts w:ascii="Times New Roman" w:hAnsi="Times New Roman"/>
        </w:rPr>
        <w:t>Navedeni trošak se odnosi na financijske rashode vezane uz korištenje eporezne.</w:t>
      </w:r>
    </w:p>
    <w:p/>
    <w:p>
      <w:pPr>
        <w:jc w:val="center"/>
        <w:pStyle w:val="Normal"/>
        <w:spacing w:line="240" w:lineRule="auto"/>
        <w:keepNext/>
      </w:pPr>
      <w:r>
        <w:rPr>
          <w:sz w:val="28"/>
          <w:rFonts w:ascii="Times New Roman" w:hAnsi="Times New Roman"/>
        </w:rPr>
        <w:t>Bilješka 28.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Ukupni rashodi poslovanja (šifre 3-Z003+Z004)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Z005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38.138,74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62.820,55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164,7</w:t>
            </w:r>
          </w:p>
        </w:tc>
      </w:tr>
    </w:tbl>
    <w:p>
      <w:pPr>
        <w:spacing w:before="0" w:after="0"/>
      </w:pPr>
    </w:p>
    <w:p>
      <w:pPr>
        <w:jc w:val="both"/>
        <w:pStyle w:val="Normal"/>
        <w:spacing w:line="240" w:lineRule="auto"/>
      </w:pPr>
      <w:r>
        <w:rPr>
          <w:sz w:val="24"/>
          <w:rFonts w:ascii="Times New Roman" w:hAnsi="Times New Roman"/>
        </w:rPr>
        <w:t>Uslijed povećanja cijena stavki troškova koji su obuhvaćeni poslovanjem Knjižnice i čitaonice Vojnić u izvještajnom razdoblju tekuće godine došlo je od osjetnog povećanja ukupnih troškova poslovanja. Povećanje rashoda se ponajviše odnosi na rashode za zaposlene koji su rasli zbog povećanja osnovice za obračun plaća između promatranih razdoblja obuhvaćenih ovim izvještajem te dodatnim zapošljavanjem jednog djelatnika.</w:t>
      </w:r>
    </w:p>
    <w:p/>
    <w:p>
      <w:pPr>
        <w:jc w:val="center"/>
        <w:pStyle w:val="Normal"/>
        <w:spacing w:line="240" w:lineRule="auto"/>
        <w:keepNext/>
      </w:pPr>
      <w:r>
        <w:rPr>
          <w:sz w:val="28"/>
          <w:rFonts w:ascii="Times New Roman" w:hAnsi="Times New Roman"/>
        </w:rPr>
        <w:t>Bilješka 29.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VIŠAK PRIHODA POSLOVANJA (šifre 6-Z005)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X001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6.895,91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6.028,09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87,4</w:t>
            </w:r>
          </w:p>
        </w:tc>
      </w:tr>
    </w:tbl>
    <w:p>
      <w:pPr>
        <w:spacing w:before="0" w:after="0"/>
      </w:pPr>
    </w:p>
    <w:p>
      <w:pPr>
        <w:jc w:val="both"/>
        <w:pStyle w:val="Normal"/>
        <w:spacing w:line="240" w:lineRule="auto"/>
      </w:pPr>
      <w:r>
        <w:rPr>
          <w:sz w:val="24"/>
          <w:rFonts w:ascii="Times New Roman" w:hAnsi="Times New Roman"/>
        </w:rPr>
        <w:t>Višak prihoda poslovanja ostvaren je u manjoj mjeri nego u prethodnom izvještajnom razdoblju  zbog povećanja troškova vezanih uz rashode poslovanja.</w:t>
      </w:r>
    </w:p>
    <w:p/>
    <w:p>
      <w:pPr>
        <w:jc w:val="center"/>
        <w:pStyle w:val="Normal"/>
        <w:spacing w:line="240" w:lineRule="auto"/>
        <w:keepNext/>
      </w:pPr>
      <w:r>
        <w:rPr>
          <w:sz w:val="28"/>
          <w:rFonts w:ascii="Times New Roman" w:hAnsi="Times New Roman"/>
        </w:rPr>
        <w:t>Bilješka 30.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92211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Višak prihoda poslovanja - preneseni</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92211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4.909,57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125,38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2,6</w:t>
            </w:r>
          </w:p>
        </w:tc>
      </w:tr>
    </w:tbl>
    <w:p>
      <w:pPr>
        <w:spacing w:before="0" w:after="0"/>
      </w:pPr>
    </w:p>
    <w:p>
      <w:pPr>
        <w:jc w:val="both"/>
        <w:pStyle w:val="Normal"/>
        <w:spacing w:line="240" w:lineRule="auto"/>
      </w:pPr>
      <w:r>
        <w:rPr>
          <w:sz w:val="24"/>
          <w:rFonts w:ascii="Times New Roman" w:hAnsi="Times New Roman"/>
        </w:rPr>
        <w:t>Prenesi višak iz prethodnih razdoblja ukalkuliran je u rezultate poslovanja te je ostvareni višak izvještajnog razdoblja tekuće godine manji za 97,40 % u odnosu na isto razdoblje prethodne godine</w:t>
      </w:r>
    </w:p>
    <w:p/>
    <w:p>
      <w:pPr>
        <w:jc w:val="center"/>
        <w:pStyle w:val="Normal"/>
        <w:spacing w:line="240" w:lineRule="auto"/>
        <w:keepNext/>
      </w:pPr>
      <w:r>
        <w:rPr>
          <w:sz w:val="28"/>
          <w:rFonts w:ascii="Times New Roman" w:hAnsi="Times New Roman"/>
        </w:rPr>
        <w:t>Bilješka 31.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1.480,15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4.990,24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337,1</w:t>
            </w:r>
          </w:p>
        </w:tc>
      </w:tr>
    </w:tbl>
    <w:p>
      <w:pPr>
        <w:spacing w:before="0" w:after="0"/>
      </w:pPr>
    </w:p>
    <w:p>
      <w:pPr>
        <w:jc w:val="both"/>
        <w:pStyle w:val="Normal"/>
        <w:spacing w:line="240" w:lineRule="auto"/>
      </w:pPr>
      <w:r>
        <w:rPr>
          <w:sz w:val="24"/>
          <w:rFonts w:ascii="Times New Roman" w:hAnsi="Times New Roman"/>
        </w:rPr>
        <w:t>Knjižnica i čitaonica Vojnić redovito svake godine provodi nabavu knjižne građe kroz sredstva koja dobije od Ministarstva kulture i medija te sredstva iz nadležnog proračuna.</w:t>
      </w:r>
    </w:p>
    <w:p/>
    <w:p>
      <w:pPr>
        <w:jc w:val="center"/>
        <w:pStyle w:val="Normal"/>
        <w:spacing w:line="240" w:lineRule="auto"/>
        <w:keepNext/>
      </w:pPr>
      <w:r>
        <w:rPr>
          <w:sz w:val="28"/>
          <w:rFonts w:ascii="Times New Roman" w:hAnsi="Times New Roman"/>
        </w:rPr>
        <w:t>Bilješka 32.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proizvedene dugotrajne imovine (šifre 421+422+423+424+425+426)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1.480,15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4.990,24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337,1</w:t>
            </w:r>
          </w:p>
        </w:tc>
      </w:tr>
    </w:tbl>
    <w:p>
      <w:pPr>
        <w:spacing w:before="0" w:after="0"/>
      </w:pPr>
    </w:p>
    <w:p>
      <w:pPr>
        <w:jc w:val="both"/>
        <w:pStyle w:val="Normal"/>
        <w:spacing w:line="240" w:lineRule="auto"/>
      </w:pPr>
      <w:r>
        <w:rPr>
          <w:sz w:val="24"/>
          <w:rFonts w:ascii="Times New Roman" w:hAnsi="Times New Roman"/>
        </w:rPr>
        <w:t> Knjižnica i čitaonica Vojnić u izvještajnom razdoblju tekuće godine dobila je od Ministarstva kulture i medija više sredstava za nabavu knjižne i ne knjižne  građe u odnosu na izvještajno razdoblje prethodne godine. Sredstva iz nadležnog proračuna ista su kao i u izvještajnom razdoblju prethodne godine.</w:t>
      </w:r>
    </w:p>
    <w:p/>
    <w:p>
      <w:pPr>
        <w:jc w:val="center"/>
        <w:pStyle w:val="Normal"/>
        <w:spacing w:line="240" w:lineRule="auto"/>
        <w:keepNext/>
      </w:pPr>
      <w:r>
        <w:rPr>
          <w:sz w:val="28"/>
          <w:rFonts w:ascii="Times New Roman" w:hAnsi="Times New Roman"/>
        </w:rPr>
        <w:t>Bilješka 33.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4241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Knjige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4241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1.480,15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4.990,24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337,1</w:t>
            </w:r>
          </w:p>
        </w:tc>
      </w:tr>
    </w:tbl>
    <w:p>
      <w:pPr>
        <w:spacing w:before="0" w:after="0"/>
      </w:pPr>
    </w:p>
    <w:p>
      <w:pPr>
        <w:jc w:val="both"/>
        <w:pStyle w:val="Normal"/>
        <w:spacing w:line="240" w:lineRule="auto"/>
      </w:pPr>
      <w:r>
        <w:rPr>
          <w:sz w:val="24"/>
          <w:rFonts w:ascii="Times New Roman" w:hAnsi="Times New Roman"/>
        </w:rPr>
        <w:t>Rashodi za nabavu knjiga su povećani zbog povećanja sredstava dodijeljenih od strane Ministarstva kulture i medija.</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34.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U navedenom razdoblju nije bilo dospjelih obveza.</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f168d38f565740aa" /></Relationships>
</file>